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Lista dostawców usług, z których korzystamy przy prowadzeniu Strony Internetowej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dddddd" w:val="clear"/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Rule="auto"/>
              <w:jc w:val="center"/>
              <w:rPr>
                <w:rFonts w:ascii="Arial" w:cs="Arial" w:eastAsia="Arial" w:hAnsi="Arial"/>
                <w:color w:val="ffffff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hd w:fill="auto" w:val="clear"/>
                <w:rtl w:val="0"/>
              </w:rPr>
              <w:t xml:space="preserve">Podmiot</w:t>
            </w:r>
          </w:p>
        </w:tc>
        <w:tc>
          <w:tcPr>
            <w:shd w:fill="dddddd" w:val="clear"/>
            <w:tcMar>
              <w:top w:w="180.0" w:type="dxa"/>
              <w:left w:w="0.0" w:type="dxa"/>
              <w:bottom w:w="18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0" w:before="180" w:lineRule="auto"/>
              <w:jc w:val="center"/>
              <w:rPr>
                <w:rFonts w:ascii="Arial" w:cs="Arial" w:eastAsia="Arial" w:hAnsi="Arial"/>
                <w:color w:val="ffffff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hd w:fill="auto" w:val="clear"/>
                <w:rtl w:val="0"/>
              </w:rPr>
              <w:t xml:space="preserve">Cel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PKO Bank Polski Spółka Akcyjna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ING Bank Śląski S.A.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mBank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Sygma Banque Société Anonyme (Spółka Akcyjna) z siedzibą w Paryżu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Alior Bank S.A. z siedzibą w Warszawie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ratalnej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Santander Consumer Bank S.A.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w systemie e-Raty Santander Consumer Finanse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Credit Agricole Bank Polska Spółka Akcyjna z siedzibą we Wrocławiu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Zrealizowanie płatności w systemie Raty Credit Agricole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Google Ireland Ltd. (Google Cloud, Google Analytics, Google Analytics 360, Fabric Software)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Mierzenie ruchu na stronach internetowych, raportowanie o błędach aplikacji, tworzenie statystyk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Google Ireland Ltd.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Analizowanie aktywności Klientów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Google Ireland Ltd. (Google Adwords, Double Click Manager, Double Click Search, Remarketing Service, Firebase)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Mierzenie efektywności kampanii reklamowych, zarządzanie kampaniami reklamowymi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Meta Platforms Ireland Limited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Facebook.com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LinkedIn Ireland Ltd. z siedzibą w Irlandii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45.0" w:type="dxa"/>
              <w:left w:w="45.0" w:type="dxa"/>
              <w:bottom w:w="45.0" w:type="dxa"/>
              <w:right w:w="45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5" w:before="45" w:lineRule="auto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Popularyzacja Sklepu Internetowego za pomocą serwisu społecznościowego LinkedIn.com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